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54"/>
          <w:szCs w:val="54"/>
        </w:rPr>
      </w:pPr>
      <w:r>
        <w:rPr>
          <w:rStyle w:val="5"/>
          <w:rFonts w:hint="eastAsia" w:ascii="宋体" w:hAnsi="宋体" w:eastAsia="宋体" w:cs="宋体"/>
          <w:b/>
          <w:i w:val="0"/>
          <w:caps w:val="0"/>
          <w:color w:val="555555"/>
          <w:spacing w:val="0"/>
          <w:sz w:val="40"/>
          <w:szCs w:val="40"/>
        </w:rPr>
        <w:t>AC266 Water-borne Acrylic Resin</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AC266 is a pure acrylic emulsion with special structure. It is made of special synthetic process and is specially designed for roller coating system. The product is relatively good in roll coating effect, smooth in flow, easy to polish and glossy.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Good film thickness.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Good leveling.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resistance to hot and cold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Good response to thickener.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anti-backtack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Compliance with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62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15"/>
        <w:gridCol w:w="4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Main ingredients</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Milky white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&lt;5000CPS/25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Tg</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55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7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MFT</w:t>
            </w:r>
          </w:p>
        </w:tc>
        <w:tc>
          <w:tcPr>
            <w:tcW w:w="49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35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This product can be used in waterborne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4-6% film-forming additive (DPnB) is added according to the amount of resin added to meet the requirements of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27DF7"/>
    <w:rsid w:val="48B27DF7"/>
    <w:rsid w:val="797A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2019-04-01T09:17:16Z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