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hint="eastAsia" w:ascii="宋体" w:hAnsi="宋体" w:eastAsia="宋体" w:cs="宋体"/>
          <w:b/>
          <w:i w:val="0"/>
          <w:caps w:val="0"/>
          <w:color w:val="555555"/>
          <w:spacing w:val="0"/>
          <w:sz w:val="54"/>
          <w:szCs w:val="54"/>
        </w:rPr>
      </w:pPr>
      <w:bookmarkStart w:id="0" w:name="_GoBack"/>
      <w:r>
        <w:rPr>
          <w:rStyle w:val="4"/>
          <w:rFonts w:hint="eastAsia" w:ascii="宋体" w:hAnsi="宋体" w:eastAsia="宋体" w:cs="宋体"/>
          <w:b/>
          <w:i w:val="0"/>
          <w:caps w:val="0"/>
          <w:color w:val="555555"/>
          <w:spacing w:val="0"/>
          <w:sz w:val="54"/>
          <w:szCs w:val="54"/>
        </w:rPr>
        <w:t>G-1000水性固化剂</w:t>
      </w:r>
    </w:p>
    <w:bookmarkEnd w:id="0"/>
    <w:p>
      <w:pPr>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G-1000是基于六亚甲基二异氰酸酯（HDI）的亲水性脂肪族聚异氰酸酯，由于具有适中的亲水性和高官能度之间的平衡，使用G-800制备而成的水性双 组分聚氨酯、丙烯酸涂料具有快干、丰满度好、硬化快速的特点，形成的膜则具有最终硬度高和极佳的耐化学品性特点。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产品特性：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相容性好：在人手慢速搅拌的情况下，可直接添加使用，无任何不良影响。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活化期长：活化期受聚合物含量和其它组分（如树脂、增稠剂、增塑剂等）的影响。在许多分散体中，活化期（通常为几小时）的终点没有显示为凝胶现象。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优秀的硬度、韧性和丰满度。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优异的耐水耐化学性能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附着力特强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r>
        <w:rPr>
          <w:rStyle w:val="4"/>
          <w:rFonts w:hint="eastAsia" w:ascii="宋体" w:hAnsi="宋体" w:eastAsia="宋体" w:cs="宋体"/>
          <w:b/>
          <w:sz w:val="27"/>
          <w:szCs w:val="27"/>
        </w:rPr>
        <w:t>典型物理规格：</w:t>
      </w:r>
    </w:p>
    <w:tbl>
      <w:tblPr>
        <w:tblStyle w:val="5"/>
        <w:tblW w:w="49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70"/>
        <w:gridCol w:w="2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20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主要成份</w:t>
            </w:r>
          </w:p>
        </w:tc>
        <w:tc>
          <w:tcPr>
            <w:tcW w:w="28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sz w:val="24"/>
                <w:szCs w:val="24"/>
              </w:rPr>
              <w:t>亲水性脂肪族聚异氰酸酯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0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sz w:val="24"/>
                <w:szCs w:val="24"/>
              </w:rPr>
              <w:t>外    观</w:t>
            </w:r>
          </w:p>
        </w:tc>
        <w:tc>
          <w:tcPr>
            <w:tcW w:w="28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sz w:val="24"/>
                <w:szCs w:val="24"/>
              </w:rPr>
              <w:t>无色至浅黄色透明液体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0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sz w:val="24"/>
                <w:szCs w:val="24"/>
              </w:rPr>
              <w:t>固 含 量</w:t>
            </w:r>
          </w:p>
        </w:tc>
        <w:tc>
          <w:tcPr>
            <w:tcW w:w="28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sz w:val="24"/>
                <w:szCs w:val="24"/>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070" w:type="dxa"/>
            <w:tcBorders>
              <w:top w:val="single" w:color="auto" w:sz="6" w:space="0"/>
              <w:left w:val="single" w:color="auto" w:sz="6" w:space="0"/>
              <w:bottom w:val="single" w:color="auto" w:sz="4"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sz w:val="24"/>
                <w:szCs w:val="24"/>
              </w:rPr>
              <w:t>粘    度</w:t>
            </w:r>
          </w:p>
        </w:tc>
        <w:tc>
          <w:tcPr>
            <w:tcW w:w="2895" w:type="dxa"/>
            <w:tcBorders>
              <w:top w:val="single" w:color="auto" w:sz="6" w:space="0"/>
              <w:left w:val="single" w:color="auto" w:sz="6" w:space="0"/>
              <w:bottom w:val="single" w:color="auto" w:sz="4"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sz w:val="24"/>
                <w:szCs w:val="24"/>
              </w:rPr>
              <w:t>&lt;10000cps/25℃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207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sz w:val="24"/>
                <w:szCs w:val="24"/>
              </w:rPr>
              <w:t>NCO含量</w:t>
            </w:r>
          </w:p>
        </w:tc>
        <w:tc>
          <w:tcPr>
            <w:tcW w:w="28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sz w:val="24"/>
                <w:szCs w:val="24"/>
              </w:rPr>
              <w:t>17-19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07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sz w:val="24"/>
                <w:szCs w:val="24"/>
              </w:rPr>
              <w:t>游离单体含量</w:t>
            </w:r>
          </w:p>
        </w:tc>
        <w:tc>
          <w:tcPr>
            <w:tcW w:w="28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sz w:val="24"/>
                <w:szCs w:val="24"/>
              </w:rPr>
              <w:t>&lt;0.3%（按重量计）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207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溶    剂</w:t>
            </w:r>
            <w:r>
              <w:rPr>
                <w:rFonts w:ascii="宋体" w:hAnsi="宋体" w:eastAsia="宋体" w:cs="宋体"/>
                <w:sz w:val="24"/>
                <w:szCs w:val="24"/>
              </w:rPr>
              <w:br w:type="textWrapping"/>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bl>
    <w:p>
      <w:pPr>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应用推荐：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可用作水性羟基树脂或多元醇的交联剂以及大部分中性的水性聚合物分散体（如聚氨酯、聚乙酸乙烯树脂、聚丙烯酸酯和合成橡胶分散体）的交联剂。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使用指引：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一般而言，该产品可与酯、醚酯、二甲苯和石脑油100号溶剂相容，溶剂不能用醇或醇醚等含羟基或胺基。而且对于每种溶剂均应测试其溶解性和相容性。仅可使用聚氨酯级的溶剂。水含量不得超过0.05%。建议不再添加溶剂直接用于水性双组份涂料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包装规格：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提供25Kg和60Kg两种规格（聚乙烯桶）。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贮存要求：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该产品对于湿气十分敏感，因此必须储存于密封容器中，开封后，尽量快用完。贮存环境温度应在15℃-35℃，不能在太阳光直照条件下贮存，本品可在六个月内使用。六个月后，检验合格仍可使用。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安全声明：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本品含有微量刺激性物质，如粘附在手中用水清洗。如溅入眼睛内，我们建议用大量清水冲洗后并即到医院进行详细检查，以确保安全。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免责声明：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以上数据和建议是以我们认为可靠的信息为基础，我们真诚提供以上数据，但不能保证其作为我们控制范围的条件和方法来使用我们的产品，我们建议客户在选用我们的产品和采纳我们的建议前确定它们的适用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C1594F"/>
    <w:rsid w:val="7DC15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2019-03-06T06:07:00Z</dcterms:created>
  <dc:creator>Administrator</dc:creator>
  <cp:lastModifiedBy>Administrator</cp:lastModifiedBy>
  <dcterms:modified xsi:type="dcterms:W3CDTF">2019-03-06T06:07:55Z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